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Policy Review schedule:</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1843"/>
        <w:gridCol w:w="2268"/>
        <w:tblGridChange w:id="0">
          <w:tblGrid>
            <w:gridCol w:w="5812"/>
            <w:gridCol w:w="1843"/>
            <w:gridCol w:w="2268"/>
          </w:tblGrid>
        </w:tblGridChange>
      </w:tblGrid>
      <w:tr>
        <w:trPr>
          <w:cantSplit w:val="0"/>
          <w:tblHeader w:val="0"/>
        </w:trPr>
        <w:tc>
          <w:tcPr>
            <w:shd w:fill="00b0f0" w:val="clear"/>
            <w:vAlign w:val="top"/>
          </w:tcPr>
          <w:p w:rsidR="00000000" w:rsidDel="00000000" w:rsidP="00000000" w:rsidRDefault="00000000" w:rsidRPr="00000000" w14:paraId="00000003">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Comments</w:t>
            </w:r>
            <w:r w:rsidDel="00000000" w:rsidR="00000000" w:rsidRPr="00000000">
              <w:rPr>
                <w:rtl w:val="0"/>
              </w:rPr>
            </w:r>
          </w:p>
        </w:tc>
        <w:tc>
          <w:tcPr>
            <w:shd w:fill="00b0f0" w:val="clear"/>
            <w:vAlign w:val="top"/>
          </w:tcPr>
          <w:p w:rsidR="00000000" w:rsidDel="00000000" w:rsidP="00000000" w:rsidRDefault="00000000" w:rsidRPr="00000000" w14:paraId="00000004">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By </w:t>
            </w:r>
            <w:r w:rsidDel="00000000" w:rsidR="00000000" w:rsidRPr="00000000">
              <w:rPr>
                <w:rtl w:val="0"/>
              </w:rPr>
            </w:r>
          </w:p>
        </w:tc>
        <w:tc>
          <w:tcPr>
            <w:shd w:fill="00b0f0" w:val="clear"/>
            <w:vAlign w:val="top"/>
          </w:tcPr>
          <w:p w:rsidR="00000000" w:rsidDel="00000000" w:rsidP="00000000" w:rsidRDefault="00000000" w:rsidRPr="00000000" w14:paraId="00000005">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Date of next 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completed October 2023</w:t>
            </w:r>
          </w:p>
        </w:tc>
        <w:tc>
          <w:tcPr>
            <w:vAlign w:val="top"/>
          </w:tcPr>
          <w:p w:rsidR="00000000" w:rsidDel="00000000" w:rsidP="00000000" w:rsidRDefault="00000000" w:rsidRPr="00000000" w14:paraId="00000007">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Karen Cookes</w:t>
            </w:r>
          </w:p>
        </w:tc>
        <w:tc>
          <w:tcPr>
            <w:vAlign w:val="top"/>
          </w:tcPr>
          <w:p w:rsidR="00000000" w:rsidDel="00000000" w:rsidP="00000000" w:rsidRDefault="00000000" w:rsidRPr="00000000" w14:paraId="00000008">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October 2024</w:t>
            </w:r>
          </w:p>
        </w:tc>
      </w:tr>
    </w:tbl>
    <w:p w:rsidR="00000000" w:rsidDel="00000000" w:rsidP="00000000" w:rsidRDefault="00000000" w:rsidRPr="00000000" w14:paraId="00000009">
      <w:pPr>
        <w:spacing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1.6 Uncollected child</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pStyle w:val="Heading1"/>
        <w:spacing w:line="360" w:lineRule="auto"/>
        <w:rPr>
          <w:sz w:val="20"/>
          <w:szCs w:val="20"/>
          <w:vertAlign w:val="baseline"/>
        </w:rPr>
      </w:pPr>
      <w:r w:rsidDel="00000000" w:rsidR="00000000" w:rsidRPr="00000000">
        <w:rPr>
          <w:b w:val="1"/>
          <w:sz w:val="20"/>
          <w:szCs w:val="20"/>
          <w:vertAlign w:val="baseline"/>
          <w:rtl w:val="0"/>
        </w:rPr>
        <w:t xml:space="preserve">Policy statement</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a child is not collected by an authorised adult at the end of a session, the setting puts into practice agreed procedures.  These ensure the child is cared for safely by an experienced and qualified practitioner who is known to the child.  We will ensure that the child receives a high standard of care in order to cause as little distress as possible.</w:t>
      </w:r>
    </w:p>
    <w:p w:rsidR="00000000" w:rsidDel="00000000" w:rsidP="00000000" w:rsidRDefault="00000000" w:rsidRPr="00000000" w14:paraId="0000000F">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inform parents/carers of our procedures so that, if they are unavoidably delayed, they will be reassured that their children will be properly cared for.</w:t>
      </w:r>
    </w:p>
    <w:p w:rsidR="00000000" w:rsidDel="00000000" w:rsidP="00000000" w:rsidRDefault="00000000" w:rsidRPr="00000000" w14:paraId="00000011">
      <w:pPr>
        <w:pStyle w:val="Heading2"/>
        <w:spacing w:before="0" w:line="360" w:lineRule="auto"/>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2">
      <w:pPr>
        <w:pStyle w:val="Heading2"/>
        <w:numPr>
          <w:ilvl w:val="0"/>
          <w:numId w:val="5"/>
        </w:numPr>
        <w:spacing w:before="0" w:line="360" w:lineRule="auto"/>
        <w:ind w:left="360" w:hanging="360"/>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Procedures</w:t>
      </w:r>
      <w:r w:rsidDel="00000000" w:rsidR="00000000" w:rsidRPr="00000000">
        <w:rPr>
          <w:rtl w:val="0"/>
        </w:rPr>
      </w:r>
    </w:p>
    <w:p w:rsidR="00000000" w:rsidDel="00000000" w:rsidP="00000000" w:rsidRDefault="00000000" w:rsidRPr="00000000" w14:paraId="00000013">
      <w:pPr>
        <w:pStyle w:val="Heading2"/>
        <w:numPr>
          <w:ilvl w:val="1"/>
          <w:numId w:val="5"/>
        </w:numPr>
        <w:spacing w:before="0" w:line="360" w:lineRule="auto"/>
        <w:ind w:left="360" w:hanging="360"/>
        <w:rPr>
          <w:rFonts w:ascii="Arial" w:cs="Arial" w:eastAsia="Arial" w:hAnsi="Arial"/>
          <w:b w:val="0"/>
          <w:color w:val="000000"/>
          <w:sz w:val="20"/>
          <w:szCs w:val="20"/>
          <w:vertAlign w:val="baseline"/>
        </w:rPr>
      </w:pPr>
      <w:r w:rsidDel="00000000" w:rsidR="00000000" w:rsidRPr="00000000">
        <w:rPr>
          <w:rFonts w:ascii="Arial" w:cs="Arial" w:eastAsia="Arial" w:hAnsi="Arial"/>
          <w:b w:val="0"/>
          <w:color w:val="000000"/>
          <w:sz w:val="20"/>
          <w:szCs w:val="20"/>
          <w:vertAlign w:val="baseline"/>
          <w:rtl w:val="0"/>
        </w:rPr>
        <w:t xml:space="preserve">Parents of children starting at the setting are asked to provide the following specific information which is recorded on our Registration Form:</w:t>
      </w:r>
    </w:p>
    <w:p w:rsidR="00000000" w:rsidDel="00000000" w:rsidP="00000000" w:rsidRDefault="00000000" w:rsidRPr="00000000" w14:paraId="00000014">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Home address and telephone number - if the parents do not have a telephone, an alternative number must be given, perhaps a neighbour or close relative.</w:t>
      </w:r>
    </w:p>
    <w:p w:rsidR="00000000" w:rsidDel="00000000" w:rsidP="00000000" w:rsidRDefault="00000000" w:rsidRPr="00000000" w14:paraId="00000015">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Place of work, address and telephone number (if applicable).</w:t>
      </w:r>
    </w:p>
    <w:p w:rsidR="00000000" w:rsidDel="00000000" w:rsidP="00000000" w:rsidRDefault="00000000" w:rsidRPr="00000000" w14:paraId="00000016">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Mobile telephone number </w:t>
      </w:r>
    </w:p>
    <w:p w:rsidR="00000000" w:rsidDel="00000000" w:rsidP="00000000" w:rsidRDefault="00000000" w:rsidRPr="00000000" w14:paraId="00000017">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Names, addresses, telephone numbers of adults who are authorised by the parents to collect their child from the setting, for example a childminder or grandparent.</w:t>
      </w:r>
    </w:p>
    <w:p w:rsidR="00000000" w:rsidDel="00000000" w:rsidP="00000000" w:rsidRDefault="00000000" w:rsidRPr="00000000" w14:paraId="00000018">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Who has parental responsibility for the child.</w:t>
      </w:r>
    </w:p>
    <w:p w:rsidR="00000000" w:rsidDel="00000000" w:rsidP="00000000" w:rsidRDefault="00000000" w:rsidRPr="00000000" w14:paraId="00000019">
      <w:pPr>
        <w:numPr>
          <w:ilvl w:val="0"/>
          <w:numId w:val="1"/>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Information about any person who does not have legal access to the child.</w:t>
      </w:r>
    </w:p>
    <w:p w:rsidR="00000000" w:rsidDel="00000000" w:rsidP="00000000" w:rsidRDefault="00000000" w:rsidRPr="00000000" w14:paraId="0000001A">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On occasions when parents are aware that they will not be at home or in their usual place of work, they inform us in writing of how they can be contacted.</w:t>
      </w:r>
    </w:p>
    <w:p w:rsidR="00000000" w:rsidDel="00000000" w:rsidP="00000000" w:rsidRDefault="00000000" w:rsidRPr="00000000" w14:paraId="0000001B">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On occasions when parents or the persons normally authorised to collect the child are not able to collect the child, they provide us with written details of the name, address and telephone number of the person who will be collecting their child.  This person must know the child’s password that the parent gave on their child record form.</w:t>
      </w:r>
    </w:p>
    <w:p w:rsidR="00000000" w:rsidDel="00000000" w:rsidP="00000000" w:rsidRDefault="00000000" w:rsidRPr="00000000" w14:paraId="0000001C">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 are informed that if they are not able to collect the child as planned, they must inform us so that we can begin to take back-up measures.  We provide parents with our contact telephone number.</w:t>
      </w:r>
    </w:p>
    <w:p w:rsidR="00000000" w:rsidDel="00000000" w:rsidP="00000000" w:rsidRDefault="00000000" w:rsidRPr="00000000" w14:paraId="0000001D">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inform parents that we apply our child protection procedures as set out in our child protection policy in the event that their children are not collected from setting by an authorised adult within one hour after the setting has closed and the staff can no longer supervise the child on our premises.</w:t>
      </w:r>
    </w:p>
    <w:p w:rsidR="00000000" w:rsidDel="00000000" w:rsidP="00000000" w:rsidRDefault="00000000" w:rsidRPr="00000000" w14:paraId="0000001E">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 child is not collected at the end of the session, we follow the following procedures:</w:t>
      </w:r>
    </w:p>
    <w:p w:rsidR="00000000" w:rsidDel="00000000" w:rsidP="00000000" w:rsidRDefault="00000000" w:rsidRPr="00000000" w14:paraId="0000001F">
      <w:pPr>
        <w:numPr>
          <w:ilvl w:val="0"/>
          <w:numId w:val="2"/>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child’s file is checked for any information about changes to the normal collection routines.</w:t>
      </w:r>
    </w:p>
    <w:p w:rsidR="00000000" w:rsidDel="00000000" w:rsidP="00000000" w:rsidRDefault="00000000" w:rsidRPr="00000000" w14:paraId="00000020">
      <w:pPr>
        <w:numPr>
          <w:ilvl w:val="0"/>
          <w:numId w:val="2"/>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 information is available, parents/carers are contacted at home or at work.</w:t>
      </w:r>
    </w:p>
    <w:p w:rsidR="00000000" w:rsidDel="00000000" w:rsidP="00000000" w:rsidRDefault="00000000" w:rsidRPr="00000000" w14:paraId="00000021">
      <w:pPr>
        <w:tabs>
          <w:tab w:val="left" w:leader="none" w:pos="1980"/>
        </w:tabs>
        <w:spacing w:line="360" w:lineRule="auto"/>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this is unsuccessful, the adults who are authorised by the parents to collect their child from the setting - and whose telephone numbers are recorded on the Registration Form - are contacted.</w:t>
      </w:r>
    </w:p>
    <w:p w:rsidR="00000000" w:rsidDel="00000000" w:rsidP="00000000" w:rsidRDefault="00000000" w:rsidRPr="00000000" w14:paraId="00000022">
      <w:pPr>
        <w:numPr>
          <w:ilvl w:val="0"/>
          <w:numId w:val="2"/>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reasonable attempts are made to contact the parents or nominated carers.</w:t>
      </w:r>
    </w:p>
    <w:p w:rsidR="00000000" w:rsidDel="00000000" w:rsidP="00000000" w:rsidRDefault="00000000" w:rsidRPr="00000000" w14:paraId="00000023">
      <w:pPr>
        <w:numPr>
          <w:ilvl w:val="0"/>
          <w:numId w:val="2"/>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 does not leave the premises with anyone other than those named on the Registration Form or in their file.</w:t>
      </w:r>
    </w:p>
    <w:p w:rsidR="00000000" w:rsidDel="00000000" w:rsidP="00000000" w:rsidRDefault="00000000" w:rsidRPr="00000000" w14:paraId="00000024">
      <w:pPr>
        <w:numPr>
          <w:ilvl w:val="0"/>
          <w:numId w:val="2"/>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no-one collects the child after one hour and there is no-one who can be contacted to collect the child, we apply the procedures for uncollected children.</w:t>
      </w:r>
    </w:p>
    <w:p w:rsidR="00000000" w:rsidDel="00000000" w:rsidP="00000000" w:rsidRDefault="00000000" w:rsidRPr="00000000" w14:paraId="00000025">
      <w:pPr>
        <w:numPr>
          <w:ilvl w:val="0"/>
          <w:numId w:val="2"/>
        </w:numPr>
        <w:spacing w:line="360"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contact MASH (Multi Agency Safeguarding Hub) </w:t>
      </w:r>
    </w:p>
    <w:tbl>
      <w:tblPr>
        <w:tblStyle w:val="Table2"/>
        <w:tblW w:w="8856.0" w:type="dxa"/>
        <w:jc w:val="left"/>
        <w:tblInd w:w="1332.0" w:type="dxa"/>
        <w:tblLayout w:type="fixed"/>
        <w:tblLook w:val="0000"/>
      </w:tblPr>
      <w:tblGrid>
        <w:gridCol w:w="5238"/>
        <w:gridCol w:w="3618"/>
        <w:tblGridChange w:id="0">
          <w:tblGrid>
            <w:gridCol w:w="5238"/>
            <w:gridCol w:w="3618"/>
          </w:tblGrid>
        </w:tblGridChange>
      </w:tblGrid>
      <w:tr>
        <w:trPr>
          <w:cantSplit w:val="0"/>
          <w:tblHeader w:val="0"/>
        </w:trPr>
        <w:tc>
          <w:tcPr>
            <w:tcBorders>
              <w:bottom w:color="4f81bd" w:space="0" w:sz="4" w:val="single"/>
            </w:tcBorders>
            <w:vAlign w:val="top"/>
          </w:tcPr>
          <w:p w:rsidR="00000000" w:rsidDel="00000000" w:rsidP="00000000" w:rsidRDefault="00000000" w:rsidRPr="00000000" w14:paraId="00000026">
            <w:pPr>
              <w:numPr>
                <w:ilvl w:val="0"/>
                <w:numId w:val="3"/>
              </w:numPr>
              <w:spacing w:line="360" w:lineRule="auto"/>
              <w:ind w:left="960" w:hanging="60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65</w:t>
            </w:r>
          </w:p>
        </w:tc>
        <w:tc>
          <w:tcPr>
            <w:vAlign w:val="top"/>
          </w:tcPr>
          <w:p w:rsidR="00000000" w:rsidDel="00000000" w:rsidP="00000000" w:rsidRDefault="00000000" w:rsidRPr="00000000" w14:paraId="00000027">
            <w:pPr>
              <w:spacing w:line="36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28">
      <w:pPr>
        <w:spacing w:line="360" w:lineRule="auto"/>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9">
      <w:pPr>
        <w:spacing w:line="360" w:lineRule="auto"/>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A">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 stays at the setting in the care of two of our fully-vetted workers, one of whom will be our manager or deputy manager until the child is safely collected either by the parents or by a social care worker or by another person specified by social care.</w:t>
      </w:r>
    </w:p>
    <w:p w:rsidR="00000000" w:rsidDel="00000000" w:rsidP="00000000" w:rsidRDefault="00000000" w:rsidRPr="00000000" w14:paraId="0000002B">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Social care will aim to find the parent or relative. If they are unable to do so, the child will become looked after by the local authority.</w:t>
      </w:r>
    </w:p>
    <w:p w:rsidR="00000000" w:rsidDel="00000000" w:rsidP="00000000" w:rsidRDefault="00000000" w:rsidRPr="00000000" w14:paraId="0000002C">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Under no circumstances will we go to look for the parent, nor leave the setting premises with the child.</w:t>
      </w:r>
    </w:p>
    <w:p w:rsidR="00000000" w:rsidDel="00000000" w:rsidP="00000000" w:rsidRDefault="00000000" w:rsidRPr="00000000" w14:paraId="0000002D">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ensure that the child is not anxious, and we do not discuss our concerns in front of them.</w:t>
      </w:r>
    </w:p>
    <w:p w:rsidR="00000000" w:rsidDel="00000000" w:rsidP="00000000" w:rsidRDefault="00000000" w:rsidRPr="00000000" w14:paraId="0000002E">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full written report of the incident is recorded in the child’s file. Depending on circumstances, we reserve the right to charge parents for the additional hours worked by our staff.</w:t>
      </w:r>
    </w:p>
    <w:p w:rsidR="00000000" w:rsidDel="00000000" w:rsidP="00000000" w:rsidRDefault="00000000" w:rsidRPr="00000000" w14:paraId="0000002F">
      <w:pPr>
        <w:numPr>
          <w:ilvl w:val="1"/>
          <w:numId w:val="5"/>
        </w:numPr>
        <w:spacing w:line="360" w:lineRule="auto"/>
        <w:ind w:left="360" w:hanging="36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Ofsted may be informed:</w:t>
      </w:r>
    </w:p>
    <w:tbl>
      <w:tblPr>
        <w:tblStyle w:val="Table3"/>
        <w:tblW w:w="8856.0" w:type="dxa"/>
        <w:jc w:val="left"/>
        <w:tblInd w:w="612.0" w:type="dxa"/>
        <w:tblLayout w:type="fixed"/>
        <w:tblLook w:val="0000"/>
      </w:tblPr>
      <w:tblGrid>
        <w:gridCol w:w="5238"/>
        <w:gridCol w:w="3618"/>
        <w:tblGridChange w:id="0">
          <w:tblGrid>
            <w:gridCol w:w="5238"/>
            <w:gridCol w:w="3618"/>
          </w:tblGrid>
        </w:tblGridChange>
      </w:tblGrid>
      <w:tr>
        <w:trPr>
          <w:cantSplit w:val="0"/>
          <w:tblHeader w:val="0"/>
        </w:trPr>
        <w:tc>
          <w:tcPr>
            <w:tcBorders>
              <w:bottom w:color="4f81bd" w:space="0" w:sz="4" w:val="single"/>
            </w:tcBorders>
            <w:vAlign w:val="top"/>
          </w:tcPr>
          <w:p w:rsidR="00000000" w:rsidDel="00000000" w:rsidP="00000000" w:rsidRDefault="00000000" w:rsidRPr="00000000" w14:paraId="00000032">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0300 123 1231</w:t>
            </w:r>
          </w:p>
        </w:tc>
        <w:tc>
          <w:tcPr>
            <w:vAlign w:val="top"/>
          </w:tcPr>
          <w:p w:rsidR="00000000" w:rsidDel="00000000" w:rsidP="00000000" w:rsidRDefault="00000000" w:rsidRPr="00000000" w14:paraId="00000033">
            <w:pPr>
              <w:spacing w:line="36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34">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Our local Early years consultant may also be informed.</w:t>
      </w:r>
    </w:p>
    <w:tbl>
      <w:tblPr>
        <w:tblStyle w:val="Table4"/>
        <w:tblW w:w="8856.0" w:type="dxa"/>
        <w:jc w:val="left"/>
        <w:tblInd w:w="612.0" w:type="dxa"/>
        <w:tblLayout w:type="fixed"/>
        <w:tblLook w:val="0000"/>
      </w:tblPr>
      <w:tblGrid>
        <w:gridCol w:w="5238"/>
        <w:gridCol w:w="3618"/>
        <w:tblGridChange w:id="0">
          <w:tblGrid>
            <w:gridCol w:w="5238"/>
            <w:gridCol w:w="3618"/>
          </w:tblGrid>
        </w:tblGridChange>
      </w:tblGrid>
      <w:tr>
        <w:trPr>
          <w:cantSplit w:val="0"/>
          <w:tblHeader w:val="0"/>
        </w:trPr>
        <w:tc>
          <w:tcPr>
            <w:tcBorders>
              <w:bottom w:color="4f81bd" w:space="0" w:sz="4" w:val="single"/>
            </w:tcBorders>
            <w:vAlign w:val="top"/>
          </w:tcPr>
          <w:p w:rsidR="00000000" w:rsidDel="00000000" w:rsidP="00000000" w:rsidRDefault="00000000" w:rsidRPr="00000000" w14:paraId="00000035">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Sue Williams  01452 427224 / 07901513640</w:t>
            </w:r>
          </w:p>
          <w:p w:rsidR="00000000" w:rsidDel="00000000" w:rsidP="00000000" w:rsidRDefault="00000000" w:rsidRPr="00000000" w14:paraId="00000036">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sue.williams@gloucestershire.gov.uk</w:t>
            </w:r>
          </w:p>
        </w:tc>
        <w:tc>
          <w:tcPr>
            <w:vAlign w:val="top"/>
          </w:tcPr>
          <w:p w:rsidR="00000000" w:rsidDel="00000000" w:rsidP="00000000" w:rsidRDefault="00000000" w:rsidRPr="00000000" w14:paraId="00000037">
            <w:pPr>
              <w:spacing w:line="36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38">
      <w:pPr>
        <w:spacing w:line="360" w:lineRule="auto"/>
        <w:ind w:left="540" w:firstLine="0"/>
        <w:rPr>
          <w:rFonts w:ascii="Arial" w:cs="Arial" w:eastAsia="Arial" w:hAnsi="Arial"/>
          <w:sz w:val="20"/>
          <w:szCs w:val="20"/>
          <w:vertAlign w:val="baseline"/>
        </w:rPr>
      </w:pPr>
      <w:r w:rsidDel="00000000" w:rsidR="00000000" w:rsidRPr="00000000">
        <w:rPr>
          <w:rtl w:val="0"/>
        </w:rPr>
      </w:r>
    </w:p>
    <w:tbl>
      <w:tblPr>
        <w:tblStyle w:val="Table5"/>
        <w:tblW w:w="9576.0" w:type="dxa"/>
        <w:jc w:val="left"/>
        <w:tblInd w:w="-108.0" w:type="dxa"/>
        <w:tblLayout w:type="fixed"/>
        <w:tblLook w:val="0000"/>
      </w:tblPr>
      <w:tblGrid>
        <w:gridCol w:w="4407"/>
        <w:gridCol w:w="3336"/>
        <w:gridCol w:w="1833"/>
        <w:tblGridChange w:id="0">
          <w:tblGrid>
            <w:gridCol w:w="4407"/>
            <w:gridCol w:w="3336"/>
            <w:gridCol w:w="1833"/>
          </w:tblGrid>
        </w:tblGridChange>
      </w:tblGrid>
      <w:tr>
        <w:trPr>
          <w:cantSplit w:val="0"/>
          <w:tblHeader w:val="0"/>
        </w:trPr>
        <w:tc>
          <w:tcPr>
            <w:vAlign w:val="top"/>
          </w:tcPr>
          <w:p w:rsidR="00000000" w:rsidDel="00000000" w:rsidP="00000000" w:rsidRDefault="00000000" w:rsidRPr="00000000" w14:paraId="00000039">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was adopted at a meeting of</w:t>
            </w:r>
          </w:p>
        </w:tc>
        <w:tc>
          <w:tcPr>
            <w:tcBorders>
              <w:bottom w:color="4f81bd" w:space="0" w:sz="4" w:val="single"/>
            </w:tcBorders>
            <w:vAlign w:val="top"/>
          </w:tcPr>
          <w:p w:rsidR="00000000" w:rsidDel="00000000" w:rsidP="00000000" w:rsidRDefault="00000000" w:rsidRPr="00000000" w14:paraId="0000003A">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 Christophers Playgroup</w:t>
            </w:r>
          </w:p>
        </w:tc>
        <w:tc>
          <w:tcPr>
            <w:vAlign w:val="top"/>
          </w:tcPr>
          <w:p w:rsidR="00000000" w:rsidDel="00000000" w:rsidP="00000000" w:rsidRDefault="00000000" w:rsidRPr="00000000" w14:paraId="0000003B">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setting</w:t>
            </w:r>
          </w:p>
        </w:tc>
      </w:tr>
      <w:tr>
        <w:trPr>
          <w:cantSplit w:val="0"/>
          <w:tblHeader w:val="0"/>
        </w:trPr>
        <w:tc>
          <w:tcPr>
            <w:vAlign w:val="top"/>
          </w:tcPr>
          <w:p w:rsidR="00000000" w:rsidDel="00000000" w:rsidP="00000000" w:rsidRDefault="00000000" w:rsidRPr="00000000" w14:paraId="0000003C">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Held on</w:t>
            </w:r>
          </w:p>
        </w:tc>
        <w:tc>
          <w:tcPr>
            <w:tcBorders>
              <w:top w:color="4f81bd" w:space="0" w:sz="4" w:val="single"/>
              <w:bottom w:color="4f81bd" w:space="0" w:sz="4" w:val="single"/>
            </w:tcBorders>
            <w:vAlign w:val="top"/>
          </w:tcPr>
          <w:p w:rsidR="00000000" w:rsidDel="00000000" w:rsidP="00000000" w:rsidRDefault="00000000" w:rsidRPr="00000000" w14:paraId="0000003D">
            <w:pPr>
              <w:spacing w:line="36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E">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3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to be reviewed</w:t>
            </w:r>
          </w:p>
        </w:tc>
        <w:tc>
          <w:tcPr>
            <w:tcBorders>
              <w:top w:color="4f81bd" w:space="0" w:sz="4" w:val="single"/>
              <w:bottom w:color="4f81bd" w:space="0" w:sz="4" w:val="single"/>
            </w:tcBorders>
            <w:vAlign w:val="top"/>
          </w:tcPr>
          <w:p w:rsidR="00000000" w:rsidDel="00000000" w:rsidP="00000000" w:rsidRDefault="00000000" w:rsidRPr="00000000" w14:paraId="00000040">
            <w:pPr>
              <w:spacing w:line="36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1">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42">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Signed on behalf of the management committee</w:t>
            </w:r>
          </w:p>
        </w:tc>
        <w:tc>
          <w:tcPr>
            <w:gridSpan w:val="2"/>
            <w:tcBorders>
              <w:bottom w:color="4f81bd" w:space="0" w:sz="4" w:val="single"/>
            </w:tcBorders>
            <w:vAlign w:val="top"/>
          </w:tcPr>
          <w:p w:rsidR="00000000" w:rsidDel="00000000" w:rsidP="00000000" w:rsidRDefault="00000000" w:rsidRPr="00000000" w14:paraId="00000043">
            <w:pPr>
              <w:spacing w:line="360" w:lineRule="auto"/>
              <w:rPr>
                <w:rFonts w:ascii="Courgette" w:cs="Courgette" w:eastAsia="Courgette" w:hAnsi="Courgette"/>
                <w:sz w:val="32"/>
                <w:szCs w:val="32"/>
                <w:vertAlign w:val="baseline"/>
              </w:rPr>
            </w:pPr>
            <w:r w:rsidDel="00000000" w:rsidR="00000000" w:rsidRPr="00000000">
              <w:rPr>
                <w:rFonts w:ascii="Courgette" w:cs="Courgette" w:eastAsia="Courgette" w:hAnsi="Courgette"/>
                <w:sz w:val="32"/>
                <w:szCs w:val="32"/>
                <w:vertAlign w:val="baseline"/>
                <w:rtl w:val="0"/>
              </w:rPr>
              <w:t xml:space="preserve">C.L.Kemp                         30-03-2022</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5">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signatory</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46">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Charlene Kemp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Role of signatory (e.g. chair/owner)</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49">
            <w:pPr>
              <w:spacing w:line="36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4B">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C">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Other useful Pre-school Learning Alliance publications:</w:t>
      </w: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 Protection Record (2007)</w:t>
      </w:r>
    </w:p>
    <w:sectPr>
      <w:headerReference r:id="rId7"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Comic Sans MS"/>
  <w:font w:name="Courier New"/>
  <w:font w:name="Courgette">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line="360" w:lineRule="auto"/>
      <w:jc w:val="right"/>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General Welfare Requirement: Child Protection</w:t>
    </w:r>
  </w:p>
  <w:p w:rsidR="00000000" w:rsidDel="00000000" w:rsidP="00000000" w:rsidRDefault="00000000" w:rsidRPr="00000000" w14:paraId="00000050">
    <w:pPr>
      <w:spacing w:line="360" w:lineRule="auto"/>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1">
    <w:pPr>
      <w:tabs>
        <w:tab w:val="center" w:leader="none" w:pos="4513"/>
        <w:tab w:val="right" w:leader="none" w:pos="9026"/>
      </w:tabs>
      <w:jc w:val="center"/>
      <w:rPr>
        <w:vertAlign w:val="baseline"/>
      </w:rPr>
    </w:pPr>
    <w:r w:rsidDel="00000000" w:rsidR="00000000" w:rsidRPr="00000000">
      <w:rPr>
        <w:vertAlign w:val="baseline"/>
      </w:rPr>
      <w:drawing>
        <wp:inline distB="0" distT="0" distL="114300" distR="114300">
          <wp:extent cx="990600" cy="81915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060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tabs>
        <w:tab w:val="center" w:leader="none" w:pos="4513"/>
        <w:tab w:val="right" w:leader="none" w:pos="9026"/>
      </w:tabs>
      <w:jc w:val="center"/>
      <w:rPr>
        <w:rFonts w:ascii="Comic Sans MS" w:cs="Comic Sans MS" w:eastAsia="Comic Sans MS" w:hAnsi="Comic Sans MS"/>
        <w:b w:val="0"/>
        <w:color w:val="ffc000"/>
        <w:vertAlign w:val="baseline"/>
      </w:rPr>
    </w:pPr>
    <w:r w:rsidDel="00000000" w:rsidR="00000000" w:rsidRPr="00000000">
      <w:rPr>
        <w:rFonts w:ascii="Comic Sans MS" w:cs="Comic Sans MS" w:eastAsia="Comic Sans MS" w:hAnsi="Comic Sans MS"/>
        <w:b w:val="1"/>
        <w:color w:val="ffc000"/>
        <w:vertAlign w:val="baseline"/>
        <w:rtl w:val="0"/>
      </w:rPr>
      <w:t xml:space="preserve">St </w:t>
    </w:r>
    <w:r w:rsidDel="00000000" w:rsidR="00000000" w:rsidRPr="00000000">
      <w:rPr>
        <w:rFonts w:ascii="Comic Sans MS" w:cs="Comic Sans MS" w:eastAsia="Comic Sans MS" w:hAnsi="Comic Sans MS"/>
        <w:b w:val="1"/>
        <w:color w:val="ffc000"/>
        <w:rtl w:val="0"/>
      </w:rPr>
      <w:t xml:space="preserve">Christopher's</w:t>
    </w:r>
    <w:r w:rsidDel="00000000" w:rsidR="00000000" w:rsidRPr="00000000">
      <w:rPr>
        <w:rFonts w:ascii="Comic Sans MS" w:cs="Comic Sans MS" w:eastAsia="Comic Sans MS" w:hAnsi="Comic Sans MS"/>
        <w:b w:val="1"/>
        <w:color w:val="ffc000"/>
        <w:vertAlign w:val="baseline"/>
        <w:rtl w:val="0"/>
      </w:rPr>
      <w:t xml:space="preserve"> Playgroup</w:t>
    </w:r>
    <w:r w:rsidDel="00000000" w:rsidR="00000000" w:rsidRPr="00000000">
      <w:rPr>
        <w:rtl w:val="0"/>
      </w:rPr>
    </w:r>
  </w:p>
  <w:p w:rsidR="00000000" w:rsidDel="00000000" w:rsidP="00000000" w:rsidRDefault="00000000" w:rsidRPr="00000000" w14:paraId="00000053">
    <w:pPr>
      <w:tabs>
        <w:tab w:val="center" w:leader="none" w:pos="4513"/>
        <w:tab w:val="right" w:leader="none" w:pos="9026"/>
      </w:tabs>
      <w:jc w:val="center"/>
      <w:rPr>
        <w:rFonts w:ascii="Comic Sans MS" w:cs="Comic Sans MS" w:eastAsia="Comic Sans MS" w:hAnsi="Comic Sans MS"/>
        <w:b w:val="0"/>
        <w:color w:val="ffc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color w:val="000000"/>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452"/>
      <w:numFmt w:val="decimalZero"/>
      <w:lvlText w:val="%1"/>
      <w:lvlJc w:val="left"/>
      <w:pPr>
        <w:ind w:left="960" w:hanging="60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340" w:hanging="360"/>
      </w:pPr>
      <w:rPr>
        <w:rFonts w:ascii="Calibri" w:cs="Calibri" w:eastAsia="Calibri" w:hAnsi="Calibri"/>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360" w:hanging="360"/>
      </w:pPr>
      <w:rPr>
        <w:vertAlign w:val="baseline"/>
      </w:rPr>
    </w:lvl>
    <w:lvl w:ilvl="1">
      <w:start w:val="1"/>
      <w:numFmt w:val="decimal"/>
      <w:lvlText w:val="%1.%2"/>
      <w:lvlJc w:val="left"/>
      <w:pPr>
        <w:ind w:left="360" w:hanging="360"/>
      </w:pPr>
      <w:rPr>
        <w:b w:val="1"/>
        <w:color w:val="000000"/>
        <w:vertAlign w:val="baseline"/>
      </w:rPr>
    </w:lvl>
    <w:lvl w:ilvl="2">
      <w:start w:val="1"/>
      <w:numFmt w:val="decimal"/>
      <w:lvlText w:val="%1.%2.%3"/>
      <w:lvlJc w:val="left"/>
      <w:pPr>
        <w:ind w:left="720" w:hanging="720"/>
      </w:pPr>
      <w:rPr>
        <w:color w:val="4f81bd"/>
        <w:vertAlign w:val="baseline"/>
      </w:rPr>
    </w:lvl>
    <w:lvl w:ilvl="3">
      <w:start w:val="1"/>
      <w:numFmt w:val="decimal"/>
      <w:lvlText w:val="%1.%2.%3.%4"/>
      <w:lvlJc w:val="left"/>
      <w:pPr>
        <w:ind w:left="720" w:hanging="720"/>
      </w:pPr>
      <w:rPr>
        <w:color w:val="4f81bd"/>
        <w:vertAlign w:val="baseline"/>
      </w:rPr>
    </w:lvl>
    <w:lvl w:ilvl="4">
      <w:start w:val="1"/>
      <w:numFmt w:val="decimal"/>
      <w:lvlText w:val="%1.%2.%3.%4.%5"/>
      <w:lvlJc w:val="left"/>
      <w:pPr>
        <w:ind w:left="1080" w:hanging="1080"/>
      </w:pPr>
      <w:rPr>
        <w:color w:val="4f81bd"/>
        <w:vertAlign w:val="baseline"/>
      </w:rPr>
    </w:lvl>
    <w:lvl w:ilvl="5">
      <w:start w:val="1"/>
      <w:numFmt w:val="decimal"/>
      <w:lvlText w:val="%1.%2.%3.%4.%5.%6"/>
      <w:lvlJc w:val="left"/>
      <w:pPr>
        <w:ind w:left="1080" w:hanging="1080"/>
      </w:pPr>
      <w:rPr>
        <w:color w:val="4f81bd"/>
        <w:vertAlign w:val="baseline"/>
      </w:rPr>
    </w:lvl>
    <w:lvl w:ilvl="6">
      <w:start w:val="1"/>
      <w:numFmt w:val="decimal"/>
      <w:lvlText w:val="%1.%2.%3.%4.%5.%6.%7"/>
      <w:lvlJc w:val="left"/>
      <w:pPr>
        <w:ind w:left="1440" w:hanging="1440"/>
      </w:pPr>
      <w:rPr>
        <w:color w:val="4f81bd"/>
        <w:vertAlign w:val="baseline"/>
      </w:rPr>
    </w:lvl>
    <w:lvl w:ilvl="7">
      <w:start w:val="1"/>
      <w:numFmt w:val="decimal"/>
      <w:lvlText w:val="%1.%2.%3.%4.%5.%6.%7.%8"/>
      <w:lvlJc w:val="left"/>
      <w:pPr>
        <w:ind w:left="1440" w:hanging="1440"/>
      </w:pPr>
      <w:rPr>
        <w:color w:val="4f81bd"/>
        <w:vertAlign w:val="baseline"/>
      </w:rPr>
    </w:lvl>
    <w:lvl w:ilvl="8">
      <w:start w:val="1"/>
      <w:numFmt w:val="decimal"/>
      <w:lvlText w:val="%1.%2.%3.%4.%5.%6.%7.%8.%9"/>
      <w:lvlJc w:val="left"/>
      <w:pPr>
        <w:ind w:left="1800" w:hanging="1800"/>
      </w:pPr>
      <w:rPr>
        <w:color w:val="4f81bd"/>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eastAsia="Times New Roman" w:hAnsi="Arial"/>
      <w:b w:val="1"/>
      <w:bCs w:val="1"/>
      <w:w w:val="100"/>
      <w:position w:val="-1"/>
      <w:sz w:val="28"/>
      <w:szCs w:val="24"/>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keepLines w:val="1"/>
      <w:suppressAutoHyphens w:val="1"/>
      <w:spacing w:before="200" w:line="1" w:lineRule="atLeast"/>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eastAsia="Times New Roman" w:hAnsi="Arial"/>
      <w:b w:val="1"/>
      <w:bCs w:val="1"/>
      <w:w w:val="100"/>
      <w:position w:val="-1"/>
      <w:sz w:val="28"/>
      <w:szCs w:val="24"/>
      <w:effect w:val="none"/>
      <w:vertAlign w:val="baseline"/>
      <w:cs w:val="0"/>
      <w:em w:val="none"/>
      <w:lang w:val="en-GB"/>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R6GRu/V3IePCgRhJtmhJrzCw==">CgMxLjA4AHIhMVM1SFFtMUNSeTlQaGp0RmUzSWFWamhXMERCa0ZVOUFt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2022-06-07T14:32:00Z</dcterms:created>
  <dc:creator>user</dc:creator>
</cp:coreProperties>
</file>